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wmf" ContentType="image/x-wmf"/>
  <Override PartName="/word/media/image2.png" ContentType="image/png"/>
  <Override PartName="/word/media/image3.wmf" ContentType="image/x-wmf"/>
  <Override PartName="/word/media/image4.wmf" ContentType="image/x-wmf"/>
  <Override PartName="/word/media/image5.wmf" ContentType="image/x-wmf"/>
  <Override PartName="/word/media/image6.wmf" ContentType="image/x-wmf"/>
  <Override PartName="/word/media/image10.wmf" ContentType="image/x-wmf"/>
  <Override PartName="/word/media/image7.wmf" ContentType="image/x-wmf"/>
  <Override PartName="/word/media/image11.wmf" ContentType="image/x-wmf"/>
  <Override PartName="/word/media/image8.wmf" ContentType="image/x-wmf"/>
  <Override PartName="/word/media/image12.wmf" ContentType="image/x-wmf"/>
  <Override PartName="/word/media/image9.wmf" ContentType="image/x-wmf"/>
  <Override PartName="/word/media/image13.wmf" ContentType="image/x-wm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>DSK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Rebrina</w:t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TECHNICKÝ LIST 11.05.07 PS</w:t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  <w:drawing>
          <wp:inline distT="0" distB="0" distL="0" distR="0">
            <wp:extent cx="739775" cy="2619375"/>
            <wp:effectExtent l="0" t="0" r="0" b="0"/>
            <wp:docPr id="1" name="Image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3" t="-9" r="-33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firstLine="284" w:end="0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  <w:r>
        <w:br w:type="page"/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tbl>
      <w:tblPr>
        <w:tblW w:w="7655" w:type="dxa"/>
        <w:jc w:val="start"/>
        <w:tblInd w:w="-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93"/>
        <w:gridCol w:w="6662"/>
      </w:tblGrid>
      <w:tr>
        <w:trPr>
          <w:trHeight w:val="1320" w:hRule="atLeast"/>
        </w:trPr>
        <w:tc>
          <w:tcPr>
            <w:tcW w:w="993" w:type="dxa"/>
            <w:tcBorders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560705" cy="542925"/>
                  <wp:effectExtent l="0" t="0" r="0" b="0"/>
                  <wp:docPr id="2" name="Image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37" t="-38" r="-37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/>
          </w:tcPr>
          <w:p>
            <w:pPr>
              <w:pStyle w:val="Normal"/>
              <w:ind w:start="-108" w:end="0"/>
              <w:jc w:val="both"/>
              <w:rPr/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Pozorne si prečítajte technický list, aby ste sa oboznámili s pravidlami montáže, bezpečnej prevádzky, údržby, prepravy a skladovania výrobku „Rebrina“. Ďalej len výrobok.</w:t>
            </w:r>
          </w:p>
          <w:p>
            <w:pPr>
              <w:pStyle w:val="Normal"/>
              <w:ind w:start="-108" w:end="0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Montáž, demontáž a inštaláciu vykonávajte až po preštudovaní technického listu.</w:t>
            </w:r>
          </w:p>
          <w:p>
            <w:pPr>
              <w:pStyle w:val="Normal"/>
              <w:ind w:start="-108" w:end="0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Tento technický list uschovajte počas celej doby používania výrobku.</w:t>
            </w:r>
          </w:p>
          <w:p>
            <w:pPr>
              <w:pStyle w:val="Normal"/>
              <w:ind w:start="-108" w:end="0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Výrobca si vyhradzuje právo meniť konštrukciu, vyhotovenie aj technické parametre výrobku pri jeho zdokonaľovaní bez ďalšieho upozornenia na takéto zmeny.</w:t>
            </w:r>
          </w:p>
          <w:p>
            <w:pPr>
              <w:pStyle w:val="Normal"/>
              <w:ind w:start="-108" w:end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</w:r>
          </w:p>
        </w:tc>
      </w:tr>
    </w:tbl>
    <w:p>
      <w:pPr>
        <w:pStyle w:val="Normal"/>
        <w:spacing w:lineRule="auto" w:line="36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7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URČENIE VÝROBKU</w:t>
      </w:r>
    </w:p>
    <w:p>
      <w:pPr>
        <w:pStyle w:val="Normal"/>
        <w:spacing w:lineRule="auto" w:line="216"/>
        <w:ind w:firstLine="284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Rebrina je určená na cvičenie.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Výrobok je určený na použitie v interiéri.</w:t>
      </w:r>
    </w:p>
    <w:p>
      <w:pPr>
        <w:pStyle w:val="Normal"/>
        <w:spacing w:lineRule="auto" w:line="216"/>
        <w:ind w:firstLine="495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7"/>
        </w:numPr>
        <w:spacing w:lineRule="auto" w:line="216"/>
        <w:jc w:val="center"/>
        <w:rPr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TECHNICKÉ PARAMETRE</w:t>
      </w:r>
    </w:p>
    <w:p>
      <w:pPr>
        <w:pStyle w:val="Normal"/>
        <w:spacing w:lineRule="auto" w:line="360"/>
        <w:ind w:start="705" w:end="0"/>
        <w:jc w:val="center"/>
        <w:rPr/>
      </w:pPr>
      <w:r>
        <w:rPr>
          <w:rFonts w:cs="Arial" w:ascii="Verdana" w:hAnsi="Verdana"/>
          <w:i/>
          <w:sz w:val="16"/>
          <w:szCs w:val="18"/>
          <w:lang w:val="en-US"/>
        </w:rPr>
        <w:t xml:space="preserve">Tabuľka</w:t>
      </w:r>
      <w:r>
        <w:rPr/>
        <w:t xml:space="preserve"> 1</w:t>
      </w:r>
    </w:p>
    <w:tbl>
      <w:tblPr>
        <w:tblW w:w="626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012"/>
        <w:gridCol w:w="3007"/>
        <w:gridCol w:w="1245"/>
      </w:tblGrid>
      <w:tr>
        <w:trPr>
          <w:trHeight w:val="227" w:hRule="atLeast"/>
        </w:trPr>
        <w:tc>
          <w:tcPr>
            <w:tcW w:w="201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141" w:start="175" w:end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Vonkajšie rozmery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20"/>
                <w:lang w:val="en-US"/>
              </w:rPr>
              <w:t xml:space="preserve">Hĺbka</w:t>
            </w:r>
            <w:r>
              <w:rPr>
                <w:rFonts w:cs="Arial" w:ascii="Verdana" w:hAnsi="Verdana"/>
                <w:sz w:val="18"/>
                <w:szCs w:val="20"/>
              </w:rPr>
              <w:t xml:space="preserve">, </w:t>
            </w:r>
            <w:r>
              <w:rPr>
                <w:rFonts w:cs="Arial" w:ascii="Verdana" w:hAnsi="Verdana"/>
                <w:sz w:val="18"/>
                <w:szCs w:val="20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175" w:start="175" w:end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160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Šírka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755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Výška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2235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Vzdialenosť medzi stĺpikmi, 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630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Priemer priečnej tyče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32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Hmotnosť brutto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najviac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28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Maximálna hmotnosť používateľa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kg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120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-57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Životnosť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roky</w:t>
            </w:r>
            <w:r>
              <w:rPr>
                <w:rFonts w:cs="Arial" w:ascii="Verdana" w:hAnsi="Verdana"/>
                <w:sz w:val="18"/>
                <w:szCs w:val="18"/>
              </w:rPr>
              <w:t xml:space="preserve"> (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najmenej</w:t>
            </w:r>
            <w:r>
              <w:rPr>
                <w:rFonts w:cs="Arial" w:ascii="Verdana" w:hAnsi="Verdana"/>
                <w:sz w:val="18"/>
                <w:szCs w:val="18"/>
              </w:rPr>
              <w:t>)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5</w:t>
            </w:r>
          </w:p>
        </w:tc>
      </w:tr>
    </w:tbl>
    <w:p>
      <w:pPr>
        <w:pStyle w:val="Normal"/>
        <w:spacing w:lineRule="auto" w:line="216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  <w:drawing>
          <wp:inline distT="0" distB="0" distL="0" distR="0">
            <wp:extent cx="2025015" cy="2886075"/>
            <wp:effectExtent l="0" t="0" r="0" b="0"/>
            <wp:docPr id="3" name="Image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12" t="-9" r="-12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01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Normal"/>
        <w:numPr>
          <w:ilvl w:val="0"/>
          <w:numId w:val="7"/>
        </w:num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KONŠTRUKCIA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561" w:leader="none"/>
        </w:tabs>
        <w:ind w:hanging="0" w:start="0" w:end="0"/>
        <w:jc w:val="both"/>
        <w:rPr>
          <w:rFonts w:ascii="Arial" w:hAnsi="Arial" w:cs="Arial"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  <w:lang w:val="en-US"/>
        </w:rPr>
        <w:t xml:space="preserve">Zloženie výrobku</w:t>
      </w:r>
      <w:r>
        <w:rPr>
          <w:rFonts w:cs="Arial" w:ascii="Arial" w:hAnsi="Arial"/>
          <w:b/>
          <w:sz w:val="16"/>
          <w:szCs w:val="16"/>
        </w:rPr>
        <w:t>.</w:t>
      </w:r>
    </w:p>
    <w:p>
      <w:pPr>
        <w:pStyle w:val="Normal"/>
        <w:ind w:end="226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  <w:t xml:space="preserve">Výrobok je rozoberateľná rámová konštrukcia z kovových stĺpikov.</w:t>
      </w:r>
    </w:p>
    <w:p>
      <w:pPr>
        <w:pStyle w:val="Normal"/>
        <w:ind w:end="226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1"/>
          <w:numId w:val="1"/>
        </w:numPr>
        <w:jc w:val="both"/>
        <w:rPr>
          <w:rFonts w:ascii="Arial" w:hAnsi="Arial" w:cs="Arial"/>
          <w:b/>
          <w:sz w:val="16"/>
          <w:szCs w:val="16"/>
          <w:lang w:val="en-US"/>
        </w:rPr>
      </w:pPr>
      <w:r>
        <w:rPr>
          <w:rFonts w:cs="Arial" w:ascii="Arial" w:hAnsi="Arial"/>
          <w:b/>
          <w:sz w:val="16"/>
          <w:szCs w:val="16"/>
          <w:lang w:val="en-US"/>
        </w:rPr>
        <w:t xml:space="preserve">Informácie o použitých materiáloch  </w:t>
      </w:r>
    </w:p>
    <w:p>
      <w:pPr>
        <w:pStyle w:val="Normal"/>
        <w:jc w:val="both"/>
        <w:rPr/>
      </w:pPr>
      <w:r>
        <w:rPr>
          <w:rFonts w:cs="Arial" w:ascii="Arial" w:hAnsi="Arial"/>
          <w:sz w:val="16"/>
          <w:szCs w:val="16"/>
          <w:lang w:val="en-US"/>
        </w:rPr>
        <w:t xml:space="preserve">Všetky materiály použité na výrobu dielov výrobku sú schválené na použitie a majú potrebné protokoly z laboratórnych skúšok a odborné posudky vydané akreditovanými laboratóriami.</w:t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0"/>
          <w:numId w:val="7"/>
        </w:num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OBSAH BALENIA</w:t>
      </w:r>
    </w:p>
    <w:p>
      <w:pPr>
        <w:pStyle w:val="Normal"/>
        <w:spacing w:lineRule="auto" w:line="360"/>
        <w:jc w:val="center"/>
        <w:rPr>
          <w:rFonts w:ascii="Verdana" w:hAnsi="Verdana" w:cs="Arial"/>
          <w:i/>
          <w:i/>
          <w:sz w:val="16"/>
          <w:szCs w:val="18"/>
        </w:rPr>
      </w:pPr>
      <w:r>
        <w:rPr>
          <w:rFonts w:cs="Arial" w:ascii="Verdana" w:hAnsi="Verdana"/>
          <w:i/>
          <w:sz w:val="16"/>
          <w:szCs w:val="18"/>
          <w:lang w:val="en-US"/>
        </w:rPr>
        <w:t xml:space="preserve">Tabuľka</w:t>
      </w:r>
      <w:r>
        <w:rPr>
          <w:rFonts w:cs="Arial" w:ascii="Verdana" w:hAnsi="Verdana"/>
          <w:i/>
          <w:sz w:val="16"/>
          <w:szCs w:val="18"/>
        </w:rPr>
        <w:t xml:space="preserve"> 2</w:t>
      </w:r>
    </w:p>
    <w:tbl>
      <w:tblPr>
        <w:tblW w:w="7797" w:type="dxa"/>
        <w:jc w:val="start"/>
        <w:tblInd w:w="-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20"/>
        <w:gridCol w:w="1290"/>
        <w:gridCol w:w="1333"/>
        <w:gridCol w:w="467"/>
        <w:gridCol w:w="239"/>
        <w:gridCol w:w="422"/>
        <w:gridCol w:w="1600"/>
        <w:gridCol w:w="1347"/>
        <w:gridCol w:w="679"/>
      </w:tblGrid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Názov</w:t>
            </w:r>
          </w:p>
        </w:tc>
        <w:tc>
          <w:tcPr>
            <w:tcW w:w="1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Obr.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Ks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i/>
                <w:i/>
                <w:sz w:val="14"/>
                <w:szCs w:val="16"/>
              </w:rPr>
            </w:pPr>
            <w:r>
              <w:rPr>
                <w:rFonts w:cs="Arial" w:ascii="Verdana" w:hAnsi="Verdana"/>
                <w:i/>
                <w:sz w:val="14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Názov</w:t>
            </w:r>
          </w:p>
        </w:tc>
        <w:tc>
          <w:tcPr>
            <w:tcW w:w="1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Obr.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Ks</w:t>
            </w:r>
          </w:p>
        </w:tc>
      </w:tr>
      <w:tr>
        <w:trPr>
          <w:trHeight w:val="340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Stĺpik horný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10.05.07.001</w:t>
            </w:r>
          </w:p>
        </w:tc>
        <w:tc>
          <w:tcPr>
            <w:tcW w:w="1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6200" cy="1118870"/>
                  <wp:effectExtent l="0" t="0" r="0" b="0"/>
                  <wp:docPr id="4" name="Image4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45" t="-10" r="-145" b="-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11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Stĺpik dolný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10.05.07.01</w:t>
            </w:r>
          </w:p>
        </w:tc>
        <w:tc>
          <w:tcPr>
            <w:tcW w:w="1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3025" cy="1037590"/>
                  <wp:effectExtent l="0" t="0" r="0" b="0"/>
                  <wp:docPr id="5" name="Image5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145" t="-10" r="-145" b="-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" cy="103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</w:tr>
      <w:tr>
        <w:trPr>
          <w:trHeight w:val="227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3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Priečka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10.05.07.02</w:t>
            </w:r>
          </w:p>
        </w:tc>
        <w:tc>
          <w:tcPr>
            <w:tcW w:w="1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51446" cy="449484"/>
                  <wp:effectExtent l="0" t="0" r="0" b="0"/>
                  <wp:docPr id="6" name="Image6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19" t="-32" r="-19" b="-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446" cy="449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9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4</w:t>
            </w:r>
          </w:p>
        </w:tc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Rukoväť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ISO</w:t>
            </w:r>
            <w:r>
              <w:rPr>
                <w:rFonts w:cs="Arial" w:ascii="Verdana" w:hAnsi="Verdana"/>
                <w:sz w:val="16"/>
                <w:szCs w:val="16"/>
              </w:rPr>
              <w:t>-05.38</w:t>
            </w:r>
          </w:p>
        </w:tc>
        <w:tc>
          <w:tcPr>
            <w:tcW w:w="1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411067" cy="317328"/>
                  <wp:effectExtent l="0" t="0" r="0" b="0"/>
                  <wp:docPr id="7" name="Image7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21" t="-26" r="-21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067" cy="317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18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5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Konzola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10.05.07.002</w:t>
            </w:r>
          </w:p>
        </w:tc>
        <w:tc>
          <w:tcPr>
            <w:tcW w:w="1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497890" cy="400310"/>
                  <wp:effectExtent l="0" t="0" r="0" b="0"/>
                  <wp:docPr id="8" name="Image8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-15" t="-19" r="-15" b="-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90" cy="40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6</w:t>
            </w:r>
          </w:p>
        </w:tc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Kľúč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13х17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DSKM</w:t>
            </w:r>
            <w:r>
              <w:rPr>
                <w:rFonts w:cs="Arial" w:ascii="Verdana" w:hAnsi="Verdana"/>
                <w:sz w:val="16"/>
                <w:szCs w:val="16"/>
              </w:rPr>
              <w:t xml:space="preserve"> 02.111.00</w:t>
            </w:r>
          </w:p>
        </w:tc>
        <w:tc>
          <w:tcPr>
            <w:tcW w:w="1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518636" cy="309645"/>
                  <wp:effectExtent l="0" t="0" r="0" b="0"/>
                  <wp:docPr id="9" name="Image9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-21" t="-36" r="-21" b="-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636" cy="309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83" w:hRule="atLeast"/>
        </w:trPr>
        <w:tc>
          <w:tcPr>
            <w:tcW w:w="7797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Bežné náradie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Názov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8"/>
                <w:lang w:val="en-US"/>
              </w:rPr>
              <w:t xml:space="preserve">Ks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Názov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8"/>
                <w:lang w:val="en-US"/>
              </w:rPr>
              <w:t xml:space="preserve">Ks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15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Skrutka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М8-6gх55.56.016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7798-70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16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Skrutka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М8-6gх20.56.016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7798-70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8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17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Skrutka </w:t>
            </w:r>
            <w:r>
              <w:rPr>
                <w:rFonts w:cs="Arial" w:ascii="Verdana" w:hAnsi="Verdana"/>
                <w:sz w:val="16"/>
                <w:szCs w:val="16"/>
              </w:rPr>
              <w:t>М10-6gх25.56.016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7798-70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18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20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Matica </w:t>
            </w:r>
            <w:r>
              <w:rPr>
                <w:rFonts w:cs="Arial" w:ascii="Verdana" w:hAnsi="Verdana"/>
                <w:sz w:val="16"/>
                <w:szCs w:val="16"/>
              </w:rPr>
              <w:t>М8-6H.6.016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5915-70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21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Podložka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10.А2 DIN 125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18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22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Podložka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8.А2 DIN 125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20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23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Kotviaca skrutka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 10х80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25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P</w:t>
            </w:r>
            <w:r>
              <w:rPr>
                <w:rFonts w:cs="Arial" w:ascii="Verdana" w:hAnsi="Verdana"/>
                <w:sz w:val="16"/>
                <w:szCs w:val="16"/>
              </w:rPr>
              <w:t>40х60/3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B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4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  <w:lang w:val="en-US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26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10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8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28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Dekoratívna 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13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26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29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Dekoratívna 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17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18</w:t>
            </w:r>
          </w:p>
        </w:tc>
      </w:tr>
      <w:tr>
        <w:trPr>
          <w:trHeight w:val="283" w:hRule="atLeast"/>
        </w:trPr>
        <w:tc>
          <w:tcPr>
            <w:tcW w:w="7797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Dokumentácia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737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Technický list</w:t>
            </w:r>
            <w:r>
              <w:rPr>
                <w:rFonts w:cs="Arial" w:ascii="Verdana" w:hAnsi="Verdana"/>
                <w:sz w:val="16"/>
                <w:szCs w:val="18"/>
              </w:rPr>
              <w:t xml:space="preserve"> 11.05.07 </w:t>
            </w:r>
            <w:r>
              <w:rPr>
                <w:rFonts w:cs="Arial" w:ascii="Verdana" w:hAnsi="Verdana"/>
                <w:sz w:val="16"/>
                <w:szCs w:val="18"/>
                <w:lang w:val="en-US"/>
              </w:rPr>
              <w:t>PS</w:t>
            </w:r>
          </w:p>
        </w:tc>
      </w:tr>
    </w:tbl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  <w:r>
        <w:br w:type="page"/>
      </w:r>
    </w:p>
    <w:p>
      <w:pPr>
        <w:pStyle w:val="Normal"/>
        <w:tabs>
          <w:tab w:val="clear" w:pos="708"/>
          <w:tab w:val="left" w:pos="4550" w:leader="none"/>
        </w:tabs>
        <w:ind w:start="720" w:end="0"/>
        <w:jc w:val="center"/>
        <w:rPr>
          <w:rFonts w:ascii="Verdana" w:hAnsi="Verdana" w:cs="Arial"/>
          <w:b/>
          <w:caps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>5</w:t>
      </w:r>
      <w:r>
        <w:rPr>
          <w:rFonts w:cs="Arial" w:ascii="Verdana" w:hAnsi="Verdana"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PREPRAVA A SKLADOVANIE</w:t>
      </w:r>
    </w:p>
    <w:p>
      <w:pPr>
        <w:pStyle w:val="Normal"/>
        <w:tabs>
          <w:tab w:val="clear" w:pos="708"/>
          <w:tab w:val="left" w:pos="4550" w:leader="none"/>
        </w:tabs>
        <w:ind w:hanging="568" w:start="426" w:end="0"/>
        <w:jc w:val="center"/>
        <w:rPr>
          <w:rFonts w:ascii="Verdana" w:hAnsi="Verdana" w:cs="Arial"/>
          <w:b/>
          <w:caps/>
          <w:sz w:val="18"/>
          <w:szCs w:val="18"/>
        </w:rPr>
      </w:pPr>
      <w:r>
        <w:rPr>
          <w:rFonts w:cs="Arial" w:ascii="Verdana" w:hAnsi="Verdana"/>
          <w:b/>
          <w:caps/>
          <w:sz w:val="18"/>
          <w:szCs w:val="18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5.1 Výrobok sa prepravuje v originálnom obale výrobcu akýmkoľvek dopravným prostriedkom, ktorý zaručí jeho neporušenosť.  </w:t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5.2. Podmienky skladovania zodpovedajú skupine 2 (C) podľa GOST 15150-69. Do inštalácie do pracovnej polohy skladujte výrobok v originálnom obale výrobcu v suchej miestnosti s prirodzeným vetraním.</w:t>
      </w:r>
    </w:p>
    <w:p>
      <w:pPr>
        <w:pStyle w:val="Normal"/>
        <w:tabs>
          <w:tab w:val="clear" w:pos="708"/>
          <w:tab w:val="left" w:pos="4550" w:leader="none"/>
        </w:tabs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6 LIKVIDÁCIA</w:t>
      </w:r>
    </w:p>
    <w:p>
      <w:pPr>
        <w:pStyle w:val="Normal"/>
        <w:tabs>
          <w:tab w:val="clear" w:pos="708"/>
          <w:tab w:val="left" w:pos="4550" w:leader="none"/>
        </w:tabs>
        <w:ind w:start="567" w:end="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6.1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Pred odovzdaním výrobku na likvidáciu je potrebné: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rozobrať výrobok v opačnom poradí, ako prebiehala montáž;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roztriediť diely podľa druhu materiálu, z ktorého sú vyrobené.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6.2 Výrobok neobsahuje nebezpečné látky. Likvidácia odpadu sa vykonáva podľa požiadaviek SanPiN 2.1.3684-21.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ind w:start="360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7 ZÁRUKA</w:t>
      </w:r>
    </w:p>
    <w:p>
      <w:pPr>
        <w:pStyle w:val="Normal"/>
        <w:tabs>
          <w:tab w:val="clear" w:pos="708"/>
          <w:tab w:val="left" w:pos="4550" w:leader="none"/>
        </w:tabs>
        <w:ind w:firstLine="141" w:start="426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7.1 Záručná doba na výrobok je 12 mesiacov od dátumu predaja. </w:t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7.2 Záruka sa nevzťahuje na výrobky: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s poškodením vzniknutým počas prepravy zákazníkom;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s poškodením spôsobeným porušením podmienok skladovania, montáže a prevádzky uvedených v tomto technickom liste; 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ktoré nemajú v tomto technickom liste vyplnené záznamy o zabalení, o prevzatí oddelením kontroly kvality a o predaji výrobku</w:t>
      </w:r>
    </w:p>
    <w:p>
      <w:pPr>
        <w:pStyle w:val="Normal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</w:r>
      <w:r>
        <w:rPr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výrobca ručí za spoľahlivosť výrobku za predpokladu, že zákazník dodržiava pravidlá prepravy, skladovania, montáže a prevádzky.</w:t>
      </w:r>
    </w:p>
    <w:p>
      <w:pPr>
        <w:pStyle w:val="Normal"/>
        <w:numPr>
          <w:ilvl w:val="0"/>
          <w:numId w:val="6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NÁVOD NA MONTÁŽ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Obmedzenia použitia</w:t>
      </w:r>
      <w:r>
        <w:rPr>
          <w:rFonts w:cs="Arial" w:ascii="Verdana" w:hAnsi="Verdana"/>
          <w:b/>
          <w:sz w:val="18"/>
          <w:szCs w:val="18"/>
        </w:rPr>
        <w:t>.</w:t>
      </w:r>
    </w:p>
    <w:p>
      <w:pPr>
        <w:pStyle w:val="Normal"/>
        <w:spacing w:lineRule="auto" w:line="216"/>
        <w:ind w:firstLine="284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K výrobku musí byť zabezpečený voľný prístup.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Príprava na montáž</w:t>
      </w:r>
    </w:p>
    <w:p>
      <w:pPr>
        <w:pStyle w:val="Normal"/>
        <w:spacing w:lineRule="auto" w:line="216"/>
        <w:jc w:val="both"/>
        <w:rPr/>
      </w:pPr>
      <w:r>
        <w:rPr>
          <w:rFonts w:cs="Arial" w:ascii="Verdana" w:hAnsi="Verdana"/>
          <w:b/>
          <w:sz w:val="18"/>
          <w:szCs w:val="18"/>
          <w:lang w:val="en-US"/>
        </w:rPr>
        <w:tab/>
      </w:r>
      <w:r>
        <w:rPr>
          <w:rFonts w:cs="Arial" w:ascii="Verdana" w:hAnsi="Verdana"/>
          <w:sz w:val="18"/>
          <w:szCs w:val="18"/>
          <w:lang w:val="en-US"/>
        </w:rPr>
        <w:t xml:space="preserve">Výrobok vybaľte a jednotlivé diely uložte na vopred pripravenú plochu. Skontrolujte, či obsah dodávky zodpovedá technickému listu vášho výrobku.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Bezpečnostné opatrenia</w:t>
      </w:r>
      <w:r>
        <w:rPr>
          <w:rFonts w:cs="Arial" w:ascii="Verdana" w:hAnsi="Verdana"/>
          <w:b/>
          <w:sz w:val="18"/>
          <w:szCs w:val="18"/>
        </w:rPr>
        <w:t>.</w:t>
      </w:r>
    </w:p>
    <w:p>
      <w:pPr>
        <w:pStyle w:val="Normal"/>
        <w:numPr>
          <w:ilvl w:val="0"/>
          <w:numId w:val="5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ab/>
        <w:t xml:space="preserve">Prítomnosť detí pri montáži výrobku a ich účasť na montáži sú zakázané.</w:t>
      </w:r>
    </w:p>
    <w:p>
      <w:pPr>
        <w:pStyle w:val="Normal"/>
        <w:numPr>
          <w:ilvl w:val="0"/>
          <w:numId w:val="5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Výrobok montujte postupne podľa montážneho návodu. </w:t>
      </w:r>
      <w:r>
        <w:br w:type="page"/>
      </w:r>
    </w:p>
    <w:p>
      <w:pPr>
        <w:pStyle w:val="Normal"/>
        <w:numPr>
          <w:ilvl w:val="1"/>
          <w:numId w:val="3"/>
        </w:numPr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Postup montáže a inštalácie.</w:t>
      </w:r>
    </w:p>
    <w:p>
      <w:pPr>
        <w:pStyle w:val="Normal"/>
        <w:numPr>
          <w:ilvl w:val="2"/>
          <w:numId w:val="3"/>
        </w:numPr>
        <w:spacing w:lineRule="auto" w:line="216"/>
        <w:ind w:hanging="862" w:start="720" w:end="0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Rukoväte (poz. 4) nasaďte na priečku (poz. 3). Povrch odporúčame najskôr navlhčiť mydlovým roztokom. 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1397635" cy="798195"/>
            <wp:effectExtent l="0" t="0" r="0" b="0"/>
            <wp:docPr id="10" name="Image1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" descr="" titl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16" t="-28" r="-16" b="-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16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spacing w:lineRule="auto" w:line="216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t xml:space="preserve">Obr. 1</w:t>
      </w:r>
    </w:p>
    <w:p>
      <w:pPr>
        <w:pStyle w:val="Normal"/>
        <w:spacing w:lineRule="auto" w:line="216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2"/>
          <w:numId w:val="3"/>
        </w:numPr>
        <w:tabs>
          <w:tab w:val="clear" w:pos="708"/>
          <w:tab w:val="left" w:pos="862" w:leader="none"/>
        </w:tabs>
        <w:spacing w:lineRule="auto" w:line="216"/>
        <w:ind w:hanging="862" w:start="720" w:end="0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spacing w:lineRule="auto" w:line="216"/>
        <w:ind w:start="720" w:end="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tbl>
      <w:tblPr>
        <w:tblW w:w="750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750"/>
        <w:gridCol w:w="3751"/>
      </w:tblGrid>
      <w:tr>
        <w:trPr>
          <w:trHeight w:val="381" w:hRule="atLeast"/>
        </w:trPr>
        <w:tc>
          <w:tcPr>
            <w:tcW w:w="3750" w:type="dxa"/>
            <w:tcBorders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rPr/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Zmontujte stĺpiky</w:t>
            </w:r>
            <w:r>
              <w:rPr>
                <w:rFonts w:cs="Arial" w:ascii="Verdana" w:hAnsi="Verdana"/>
                <w:sz w:val="18"/>
                <w:szCs w:val="18"/>
              </w:rPr>
              <w:t>.</w:t>
            </w:r>
          </w:p>
        </w:tc>
        <w:tc>
          <w:tcPr>
            <w:tcW w:w="3751" w:type="dxa"/>
            <w:tcBorders>
              <w:star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Zmontujte rebrinu</w:t>
            </w:r>
          </w:p>
        </w:tc>
      </w:tr>
      <w:tr>
        <w:trPr/>
        <w:tc>
          <w:tcPr>
            <w:tcW w:w="3750" w:type="dxa"/>
            <w:tcBorders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ind w:hanging="0" w:star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20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1594485</wp:posOffset>
                      </wp:positionV>
                      <wp:extent cx="267970" cy="826135"/>
                      <wp:effectExtent l="5080" t="0" r="13335" b="1905"/>
                      <wp:wrapNone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8200" cy="82656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  <a:tailEnd len="med" type="triangle" w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stroked="t" o:allowincell="t" style="position:absolute;margin-left:21.65pt;margin-top:125.55pt;width:21.05pt;height:65pt;flip:y" type="_x0000_t32">
                      <v:stroke color="black" weight="9360" endarrow="block" endarrowwidth="medium" endarrowlength="medium" joinstyle="miter" endcap="flat"/>
                      <v:fill o:detectmouseclick="t" on="false"/>
                      <w10:wrap type="none"/>
                    </v:shape>
                  </w:pict>
                </mc:Fallback>
              </mc:AlternateContent>
              <w:drawing>
                <wp:inline distT="0" distB="0" distL="0" distR="0">
                  <wp:extent cx="2227580" cy="2253615"/>
                  <wp:effectExtent l="0" t="0" r="0" b="0"/>
                  <wp:docPr id="12" name="Image1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-7" t="-7" r="-7" b="-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7580" cy="2253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rPr/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  <w:t xml:space="preserve">Stĺpik 1 zasuniete do stĺpika 2 ľahkým poklepaním o podlahu.</w:t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  <w:t xml:space="preserve">Obr</w:t>
            </w:r>
            <w:r>
              <w:rPr>
                <w:rFonts w:cs="Arial" w:ascii="Arial" w:hAnsi="Arial"/>
                <w:sz w:val="18"/>
                <w:szCs w:val="18"/>
              </w:rPr>
              <w:t>.2</w:t>
            </w:r>
          </w:p>
        </w:tc>
        <w:tc>
          <w:tcPr>
            <w:tcW w:w="3751" w:type="dxa"/>
            <w:tcBorders>
              <w:star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ind w:hanging="0" w:start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drawing>
                <wp:inline distT="0" distB="0" distL="0" distR="0">
                  <wp:extent cx="1910080" cy="2071370"/>
                  <wp:effectExtent l="0" t="0" r="0" b="0"/>
                  <wp:docPr id="13" name="Image12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2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-7" t="-7" r="-7" b="-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080" cy="207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jc w:val="center"/>
              <w:rPr/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Obr</w:t>
            </w:r>
            <w:r>
              <w:rPr>
                <w:rFonts w:cs="Arial" w:ascii="Verdana" w:hAnsi="Verdana"/>
                <w:sz w:val="18"/>
                <w:szCs w:val="18"/>
              </w:rPr>
              <w:t>.3</w:t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  <w:r>
        <w:br w:type="page"/>
      </w:r>
    </w:p>
    <w:p>
      <w:pPr>
        <w:pStyle w:val="Normal"/>
        <w:numPr>
          <w:ilvl w:val="2"/>
          <w:numId w:val="3"/>
        </w:numPr>
        <w:ind w:hanging="862" w:start="720" w:end="0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Zostavu priložte k stene</w:t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0"/>
          <w:numId w:val="4"/>
        </w:numPr>
        <w:spacing w:lineRule="auto" w:line="216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Na rebrinu namontujte konzoly (poz. 5). Zostavu priložte k stene a vyznačte otvory pre kotviace skrutky (poz. 23)</w:t>
      </w:r>
    </w:p>
    <w:p>
      <w:pPr>
        <w:pStyle w:val="Normal"/>
        <w:numPr>
          <w:ilvl w:val="0"/>
          <w:numId w:val="4"/>
        </w:numPr>
        <w:spacing w:lineRule="auto" w:line="216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Podľa značiek vyvŕtajte otvory do steny. Konzoly odskrutkujte zo zostavy. Konzoly upevnite na stenu kotviacimi skrutkami. </w:t>
      </w:r>
    </w:p>
    <w:p>
      <w:pPr>
        <w:pStyle w:val="Normal"/>
        <w:numPr>
          <w:ilvl w:val="0"/>
          <w:numId w:val="4"/>
        </w:numPr>
        <w:spacing w:lineRule="auto" w:line="216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Zostavu upevnite ku konzolám.</w:t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3853180" cy="2899410"/>
            <wp:effectExtent l="0" t="0" r="0" b="0"/>
            <wp:docPr id="14" name="Image1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3" descr="" titl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-4" t="-5" r="-4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180" cy="289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3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POKYNY NA BEZPEČNÚ PREVÁDZKU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Výrobok je určený pre dospelých a deti od 14 rokov.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Maximálna hmotnosť používateľa je 120 kg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3"/>
        </w:numPr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POKYNY NA KONTROLU PRED POUŽITÍM 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Pred použitím výrobku vykonajte tieto úkony: 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Vizuálna kontrola výrobku;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Kontrola celistvosti konštrukcie: skontrolujte, či sú namontované všetky časti výrobku.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  <w:r>
        <w:br w:type="page"/>
      </w:r>
    </w:p>
    <w:p>
      <w:pPr>
        <w:pStyle w:val="Normal"/>
        <w:spacing w:lineRule="auto" w:line="216"/>
        <w:jc w:val="both"/>
        <w:rPr>
          <w:rFonts w:ascii="Verdana" w:hAnsi="Verdana" w:cs="Arial"/>
          <w:b/>
          <w:caps/>
          <w:sz w:val="18"/>
          <w:szCs w:val="18"/>
        </w:rPr>
      </w:pPr>
      <w:r>
        <w:rPr>
          <w:rFonts w:cs="Arial" w:ascii="Verdana" w:hAnsi="Verdana"/>
          <w:b/>
          <w:caps/>
          <w:sz w:val="18"/>
          <w:szCs w:val="18"/>
        </w:rPr>
      </w:r>
    </w:p>
    <w:p>
      <w:pPr>
        <w:pStyle w:val="Normal"/>
        <w:numPr>
          <w:ilvl w:val="0"/>
          <w:numId w:val="3"/>
        </w:numPr>
        <w:spacing w:lineRule="auto" w:line="216"/>
        <w:jc w:val="center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Arial" w:hAnsi="Arial"/>
          <w:b/>
          <w:caps/>
          <w:sz w:val="18"/>
          <w:szCs w:val="18"/>
          <w:lang w:val="en-US"/>
        </w:rPr>
        <w:t xml:space="preserve">POKYNY NA KONTROLU A ÚDRŽBU</w:t>
      </w:r>
    </w:p>
    <w:p>
      <w:pPr>
        <w:pStyle w:val="Normal"/>
        <w:numPr>
          <w:ilvl w:val="1"/>
          <w:numId w:val="3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Pred každým použitím výrobku vykonajte vizuálnu kontrolu:</w:t>
      </w:r>
    </w:p>
    <w:p>
      <w:pPr>
        <w:pStyle w:val="Normal"/>
        <w:numPr>
          <w:ilvl w:val="0"/>
          <w:numId w:val="2"/>
        </w:numPr>
        <w:ind w:hanging="284" w:start="426" w:end="0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Skontrolujte upevňovacie body. Ak sú uvoľnené, dotiahnite ich bežným náradím. </w:t>
      </w:r>
    </w:p>
    <w:p>
      <w:pPr>
        <w:pStyle w:val="Normal"/>
        <w:numPr>
          <w:ilvl w:val="0"/>
          <w:numId w:val="2"/>
        </w:numPr>
        <w:ind w:hanging="284" w:start="426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Skontrolujte, či sú na spojoch nasadené plastové ochranné krytky;</w:t>
      </w:r>
    </w:p>
    <w:p>
      <w:pPr>
        <w:pStyle w:val="Normal"/>
        <w:numPr>
          <w:ilvl w:val="1"/>
          <w:numId w:val="3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Raz mesačne vykonajte funkčnú kontrolu. Skontrolujte, či je výrobok pevne osadený a upevňovacie body dotiahnuté. Skontrolujte dotiahnutie všetkých spojovacích prvkov a skrutkových spojov. </w:t>
      </w:r>
    </w:p>
    <w:p>
      <w:pPr>
        <w:pStyle w:val="Normal"/>
        <w:numPr>
          <w:ilvl w:val="1"/>
          <w:numId w:val="3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Raz ročne vykonajte základnú kontrolu.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Skontrolujte, či kovové časti nie sú skorodované;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Posúďte vplyv vykonanej opravy na bezpečnosť zariadenia.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ind w:start="720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Všetky poškodené diely vymeňte za rovnocenné diely od výrobcu. </w:t>
      </w:r>
    </w:p>
    <w:p>
      <w:pPr>
        <w:pStyle w:val="Normal"/>
        <w:ind w:start="720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Výroba a výmena dielov používateľom je 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zakázaná</w:t>
      </w:r>
      <w:r>
        <w:rPr>
          <w:rFonts w:cs="Arial" w:ascii="Verdana" w:hAnsi="Verdana"/>
          <w:sz w:val="18"/>
          <w:szCs w:val="18"/>
          <w:lang w:val="en-US"/>
        </w:rPr>
        <w:t xml:space="preserve">. 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sectPr>
      <w:footerReference w:type="default" r:id="rId15"/>
      <w:footerReference w:type="first" r:id="rId16"/>
      <w:type w:val="nextPage"/>
      <w:pgSz w:orient="landscape" w:w="8419" w:h="11906"/>
      <w:pgMar w:left="567" w:right="567" w:gutter="0" w:header="0" w:top="284" w:footer="284" w:bottom="56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Verdan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rFonts w:cs="Verdana" w:ascii="Verdana" w:hAnsi="Verdana"/>
        <w:sz w:val="16"/>
        <w:szCs w:val="16"/>
      </w:rPr>
      <w:t>09.09.2022</w:t>
    </w:r>
    <w:r>
      <mc:AlternateContent>
        <mc:Choice Requires="wps">
          <w:drawing>
            <wp:anchor behindDoc="0" distT="0" distB="0" distL="0" distR="0" simplePos="0" locked="0" layoutInCell="0" allowOverlap="1" relativeHeight="1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5405" cy="118110"/>
              <wp:effectExtent l="0" t="0" r="0" b="0"/>
              <wp:wrapSquare wrapText="bothSides"/>
              <wp:docPr id="15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" cy="1181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  <w:rFonts w:ascii="Verdana" w:hAnsi="Verdana" w:cs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PageNumber"/>
                              <w:rFonts w:cs="Verdana" w:ascii="Verdana" w:hAnsi="Verdana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t>7</w: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15pt;height:9.3pt;mso-wrap-distance-left:0pt;mso-wrap-distance-right:0pt;mso-wrap-distance-top:0pt;mso-wrap-distance-bottom:0pt;margin-top:0.05pt;mso-position-vertical-relative:text;margin-left:179.5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  <w:rFonts w:ascii="Verdana" w:hAnsi="Verdana" w:cs="Verdana"/>
                        <w:sz w:val="16"/>
                        <w:szCs w:val="16"/>
                      </w:rPr>
                    </w:pPr>
                    <w:r>
                      <w:rPr>
                        <w:rStyle w:val="PageNumber"/>
                        <w:rFonts w:cs="Verdana" w:ascii="Verdana" w:hAnsi="Verdana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separate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t>7</w: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"/>
      <w:lvlJc w:val="start"/>
      <w:pPr>
        <w:tabs>
          <w:tab w:val="num" w:pos="705"/>
        </w:tabs>
        <w:ind w:start="705" w:hanging="705"/>
      </w:pPr>
      <w:rPr/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/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1287" w:hanging="360"/>
      </w:pPr>
      <w:rPr>
        <w:rFonts w:ascii="Symbol" w:hAnsi="Symbol" w:cs="Symbol" w:hint="default"/>
      </w:rPr>
    </w:lvl>
  </w:abstractNum>
  <w:abstractNum w:abstractNumId="3">
    <w:lvl w:ilvl="0">
      <w:start w:val="8"/>
      <w:numFmt w:val="decimal"/>
      <w:lvlText w:val="%1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lvlText w:val="%1.%2"/>
      <w:lvlJc w:val="start"/>
      <w:pPr>
        <w:tabs>
          <w:tab w:val="num" w:pos="0"/>
        </w:tabs>
        <w:ind w:start="720" w:hanging="720"/>
      </w:pPr>
      <w:rPr/>
    </w:lvl>
    <w:lvl w:ilvl="2">
      <w:start w:val="1"/>
      <w:numFmt w:val="decimal"/>
      <w:lvlText w:val="%1.%2.%3"/>
      <w:lvlJc w:val="start"/>
      <w:pPr>
        <w:tabs>
          <w:tab w:val="num" w:pos="708"/>
        </w:tabs>
        <w:ind w:start="720" w:hanging="720"/>
      </w:pPr>
      <w:rPr/>
    </w:lvl>
    <w:lvl w:ilvl="3">
      <w:start w:val="1"/>
      <w:numFmt w:val="decimalZero"/>
      <w:lvlText w:val="%1.%2.%3.%4"/>
      <w:lvlJc w:val="start"/>
      <w:pPr>
        <w:tabs>
          <w:tab w:val="num" w:pos="0"/>
        </w:tabs>
        <w:ind w:start="1080" w:hanging="1080"/>
      </w:pPr>
      <w:rPr/>
    </w:lvl>
    <w:lvl w:ilvl="4">
      <w:start w:val="1"/>
      <w:numFmt w:val="decimal"/>
      <w:lvlText w:val="%1.%2.%3.%4.%5"/>
      <w:lvlJc w:val="start"/>
      <w:pPr>
        <w:tabs>
          <w:tab w:val="num" w:pos="0"/>
        </w:tabs>
        <w:ind w:start="1080" w:hanging="1080"/>
      </w:pPr>
      <w:rPr/>
    </w:lvl>
    <w:lvl w:ilvl="5">
      <w:start w:val="1"/>
      <w:numFmt w:val="decimalZero"/>
      <w:lvlText w:val="%1.%2.%3.%4.%5.%6"/>
      <w:lvlJc w:val="start"/>
      <w:pPr>
        <w:tabs>
          <w:tab w:val="num" w:pos="0"/>
        </w:tabs>
        <w:ind w:start="1440" w:hanging="1440"/>
      </w:pPr>
      <w:rPr/>
    </w:lvl>
    <w:lvl w:ilvl="6">
      <w:start w:val="1"/>
      <w:numFmt w:val="decimalZero"/>
      <w:lvlText w:val="%1.%2.%3.%4.%5.%6.%7"/>
      <w:lvlJc w:val="start"/>
      <w:pPr>
        <w:tabs>
          <w:tab w:val="num" w:pos="0"/>
        </w:tabs>
        <w:ind w:start="1800" w:hanging="180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0"/>
        </w:tabs>
        <w:ind w:start="1800" w:hanging="180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0"/>
        </w:tabs>
        <w:ind w:start="2160" w:hanging="21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644" w:hanging="360"/>
      </w:pPr>
      <w:rPr/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6">
    <w:lvl w:ilvl="0">
      <w:start w:val="8"/>
      <w:numFmt w:val="decimal"/>
      <w:lvlText w:val="%1"/>
      <w:lvlJc w:val="start"/>
      <w:pPr>
        <w:tabs>
          <w:tab w:val="num" w:pos="0"/>
        </w:tabs>
        <w:ind w:start="1425" w:hanging="360"/>
      </w:pPr>
      <w:rPr/>
    </w:lvl>
  </w:abstractNum>
  <w:abstractNum w:abstractNumId="7">
    <w:lvl w:ilvl="0">
      <w:start w:val="1"/>
      <w:numFmt w:val="decimal"/>
      <w:lvlText w:val="%1"/>
      <w:lvlJc w:val="start"/>
      <w:pPr>
        <w:tabs>
          <w:tab w:val="num" w:pos="705"/>
        </w:tabs>
        <w:ind w:start="705" w:hanging="705"/>
      </w:pPr>
      <w:rPr>
        <w:b/>
      </w:rPr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>
        <w:b w:val="false"/>
      </w:rPr>
    </w:lvl>
    <w:lvl w:ilvl="2">
      <w:start w:val="1"/>
      <w:numFmt w:val="decimal"/>
      <w:lvlText w:val="%1.%2.%3"/>
      <w:lvlJc w:val="start"/>
      <w:pPr>
        <w:tabs>
          <w:tab w:val="num" w:pos="862"/>
        </w:tabs>
        <w:ind w:start="862" w:hanging="720"/>
      </w:pPr>
      <w:rPr>
        <w:sz w:val="18"/>
        <w:szCs w:val="18"/>
      </w:rPr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>
      <w:b/>
    </w:rPr>
  </w:style>
  <w:style w:type="character" w:styleId="WW8Num4z0">
    <w:name w:val="WW8Num4z0"/>
    <w:qFormat/>
    <w:rPr/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/>
  </w:style>
  <w:style w:type="character" w:styleId="WW8Num11z1">
    <w:name w:val="WW8Num11z1"/>
    <w:qFormat/>
    <w:rPr>
      <w:b w:val="false"/>
    </w:rPr>
  </w:style>
  <w:style w:type="character" w:styleId="WW8Num12z0">
    <w:name w:val="WW8Num12z0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/>
  </w:style>
  <w:style w:type="character" w:styleId="WW8Num15z0">
    <w:name w:val="WW8Num15z0"/>
    <w:qFormat/>
    <w:rPr>
      <w:b/>
    </w:rPr>
  </w:style>
  <w:style w:type="character" w:styleId="WW8Num15z1">
    <w:name w:val="WW8Num15z1"/>
    <w:qFormat/>
    <w:rPr>
      <w:b w:val="false"/>
    </w:rPr>
  </w:style>
  <w:style w:type="character" w:styleId="WW8Num15z2">
    <w:name w:val="WW8Num15z2"/>
    <w:qFormat/>
    <w:rPr>
      <w:sz w:val="18"/>
      <w:szCs w:val="18"/>
    </w:rPr>
  </w:style>
  <w:style w:type="character" w:styleId="WW8Num15z3">
    <w:name w:val="WW8Num15z3"/>
    <w:qFormat/>
    <w:rPr/>
  </w:style>
  <w:style w:type="character" w:styleId="WW8Num16z0">
    <w:name w:val="WW8Num16z0"/>
    <w:qFormat/>
    <w:rPr>
      <w:b/>
    </w:rPr>
  </w:style>
  <w:style w:type="character" w:styleId="WW8Num16z1">
    <w:name w:val="WW8Num16z1"/>
    <w:qFormat/>
    <w:rPr>
      <w:b w:val="false"/>
    </w:rPr>
  </w:style>
  <w:style w:type="character" w:styleId="WW8Num16z2">
    <w:name w:val="WW8Num16z2"/>
    <w:qFormat/>
    <w:rPr/>
  </w:style>
  <w:style w:type="character" w:styleId="WW8Num17z0">
    <w:name w:val="WW8Num17z0"/>
    <w:qFormat/>
    <w:rPr/>
  </w:style>
  <w:style w:type="character" w:styleId="WW8Num17z1">
    <w:name w:val="WW8Num17z1"/>
    <w:qFormat/>
    <w:rPr>
      <w:b w:val="false"/>
    </w:rPr>
  </w:style>
  <w:style w:type="character" w:styleId="WW8Num18z0">
    <w:name w:val="WW8Num18z0"/>
    <w:qFormat/>
    <w:rPr/>
  </w:style>
  <w:style w:type="character" w:styleId="WW8Num18z1">
    <w:name w:val="WW8Num18z1"/>
    <w:qFormat/>
    <w:rPr>
      <w:b w:val="false"/>
    </w:rPr>
  </w:style>
  <w:style w:type="character" w:styleId="WW8Num19z0">
    <w:name w:val="WW8Num19z0"/>
    <w:qFormat/>
    <w:rPr/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19z3">
    <w:name w:val="WW8Num19z3"/>
    <w:qFormat/>
    <w:rPr>
      <w:rFonts w:ascii="Symbol" w:hAnsi="Symbol" w:cs="Symbol"/>
    </w:rPr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Style14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Style14"/>
    <w:rPr/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png"/><Relationship Id="rId4" Type="http://schemas.openxmlformats.org/officeDocument/2006/relationships/image" Target="media/image3.wmf"/><Relationship Id="rId5" Type="http://schemas.openxmlformats.org/officeDocument/2006/relationships/image" Target="media/image4.wmf"/><Relationship Id="rId6" Type="http://schemas.openxmlformats.org/officeDocument/2006/relationships/image" Target="media/image5.wmf"/><Relationship Id="rId7" Type="http://schemas.openxmlformats.org/officeDocument/2006/relationships/image" Target="media/image6.wmf"/><Relationship Id="rId8" Type="http://schemas.openxmlformats.org/officeDocument/2006/relationships/image" Target="media/image7.wmf"/><Relationship Id="rId9" Type="http://schemas.openxmlformats.org/officeDocument/2006/relationships/image" Target="media/image8.wmf"/><Relationship Id="rId10" Type="http://schemas.openxmlformats.org/officeDocument/2006/relationships/image" Target="media/image9.wmf"/><Relationship Id="rId11" Type="http://schemas.openxmlformats.org/officeDocument/2006/relationships/image" Target="media/image10.wmf"/><Relationship Id="rId12" Type="http://schemas.openxmlformats.org/officeDocument/2006/relationships/image" Target="media/image11.wmf"/><Relationship Id="rId13" Type="http://schemas.openxmlformats.org/officeDocument/2006/relationships/image" Target="media/image12.wmf"/><Relationship Id="rId14" Type="http://schemas.openxmlformats.org/officeDocument/2006/relationships/image" Target="media/image13.wmf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2022-04-20T06:25:00Z</dcterms:created>
  <dc:creator>Elistratov</dc:creator>
  <dc:description/>
  <cp:keywords/>
  <dc:language>en-US</dc:language>
  <cp:lastModifiedBy>Емельяненко Ирина Глебовна</cp:lastModifiedBy>
  <cp:lastPrinted>2022-04-20T09:39:00Z</cp:lastPrinted>
  <dcterms:modified xsi:type="dcterms:W3CDTF">2025-11-21T18:42:00Z</dcterms:modified>
  <cp:revision>39</cp:revision>
  <dc:subject/>
  <dc:title>ЗАО «ЗАВОД ИГРОВОГО СПОРТИВНОГО ОБОРУДОВАНИЯ»</dc:title>
</cp:coreProperties>
</file>